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F36" w:rsidRDefault="00A61F3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9214"/>
      </w:tblGrid>
      <w:tr w:rsidR="0095624C" w:rsidTr="0095624C">
        <w:tc>
          <w:tcPr>
            <w:tcW w:w="11023" w:type="dxa"/>
            <w:gridSpan w:val="2"/>
          </w:tcPr>
          <w:p w:rsidR="0095624C" w:rsidRPr="00A74A5F" w:rsidRDefault="0095624C" w:rsidP="0095624C">
            <w:pPr>
              <w:ind w:left="720"/>
              <w:contextualSpacing/>
              <w:rPr>
                <w:rFonts w:ascii="Times New Roman" w:eastAsia="Cambria" w:hAnsi="Times New Roman" w:cs="Times New Roman"/>
                <w:b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b/>
                <w:sz w:val="18"/>
                <w:szCs w:val="18"/>
              </w:rPr>
              <w:t>Клише для выражения смысловой связи между примерами-иллюстрациями</w:t>
            </w:r>
          </w:p>
          <w:p w:rsidR="0095624C" w:rsidRPr="00A74A5F" w:rsidRDefault="0095624C" w:rsidP="000207DE">
            <w:pPr>
              <w:tabs>
                <w:tab w:val="left" w:pos="318"/>
              </w:tabs>
              <w:contextualSpacing/>
              <w:jc w:val="center"/>
              <w:rPr>
                <w:rFonts w:ascii="Times New Roman" w:eastAsia="Cambria" w:hAnsi="Times New Roman" w:cs="Times New Roman"/>
                <w:sz w:val="18"/>
                <w:szCs w:val="18"/>
              </w:rPr>
            </w:pPr>
          </w:p>
        </w:tc>
      </w:tr>
      <w:tr w:rsidR="00A61F36" w:rsidTr="0095624C">
        <w:tc>
          <w:tcPr>
            <w:tcW w:w="1809" w:type="dxa"/>
          </w:tcPr>
          <w:p w:rsidR="00A61F36" w:rsidRPr="00A74A5F" w:rsidRDefault="00A61F36" w:rsidP="000207DE">
            <w:pPr>
              <w:tabs>
                <w:tab w:val="left" w:pos="318"/>
              </w:tabs>
              <w:contextualSpacing/>
              <w:jc w:val="center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Смысловые отношения</w:t>
            </w:r>
          </w:p>
        </w:tc>
        <w:tc>
          <w:tcPr>
            <w:tcW w:w="9214" w:type="dxa"/>
          </w:tcPr>
          <w:p w:rsidR="00A61F36" w:rsidRPr="00A74A5F" w:rsidRDefault="00A61F36" w:rsidP="000207DE">
            <w:pPr>
              <w:tabs>
                <w:tab w:val="left" w:pos="318"/>
              </w:tabs>
              <w:contextualSpacing/>
              <w:jc w:val="center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Речевые клише</w:t>
            </w:r>
          </w:p>
        </w:tc>
      </w:tr>
      <w:tr w:rsidR="00A61F36" w:rsidTr="0095624C">
        <w:tc>
          <w:tcPr>
            <w:tcW w:w="1809" w:type="dxa"/>
          </w:tcPr>
          <w:p w:rsidR="00A61F36" w:rsidRPr="00A74A5F" w:rsidRDefault="00A61F36" w:rsidP="000207DE">
            <w:pPr>
              <w:tabs>
                <w:tab w:val="left" w:pos="318"/>
              </w:tabs>
              <w:contextualSpacing/>
              <w:rPr>
                <w:rFonts w:ascii="Times New Roman" w:eastAsia="Cambria" w:hAnsi="Times New Roman" w:cs="Times New Roman"/>
                <w:b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b/>
                <w:sz w:val="18"/>
                <w:szCs w:val="18"/>
              </w:rPr>
              <w:t>Противопоставление (противительная связь  антитеза, контраст)</w:t>
            </w:r>
          </w:p>
          <w:p w:rsidR="00A61F36" w:rsidRPr="00A74A5F" w:rsidRDefault="00A61F36" w:rsidP="000207DE">
            <w:pPr>
              <w:tabs>
                <w:tab w:val="left" w:pos="318"/>
              </w:tabs>
              <w:ind w:left="29"/>
              <w:contextualSpacing/>
              <w:rPr>
                <w:rFonts w:ascii="Times New Roman" w:eastAsia="Cambria" w:hAnsi="Times New Roman" w:cs="Times New Roman"/>
                <w:bCs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Если части текста противопоставлены друг другу, значит, в композиции использован прием </w:t>
            </w:r>
            <w:r w:rsidRPr="00A74A5F">
              <w:rPr>
                <w:rFonts w:ascii="Times New Roman" w:eastAsia="Cambria" w:hAnsi="Times New Roman" w:cs="Times New Roman"/>
                <w:bCs/>
                <w:sz w:val="18"/>
                <w:szCs w:val="18"/>
              </w:rPr>
              <w:t>контраста.</w:t>
            </w:r>
          </w:p>
          <w:p w:rsidR="00A61F36" w:rsidRPr="00A74A5F" w:rsidRDefault="00A61F36" w:rsidP="0095624C">
            <w:pPr>
              <w:tabs>
                <w:tab w:val="left" w:pos="318"/>
              </w:tabs>
              <w:ind w:left="29"/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Для контраста характерна быстрая смена противоположных по смыслу понятий, содержательных частей, употребляемых в тексте, противоположные</w:t>
            </w:r>
            <w:r w:rsidRPr="00A74A5F">
              <w:rPr>
                <w:rFonts w:ascii="Times New Roman" w:eastAsia="Cambria" w:hAnsi="Times New Roman" w:cs="Times New Roman"/>
                <w:b/>
                <w:sz w:val="18"/>
                <w:szCs w:val="18"/>
              </w:rPr>
              <w:t xml:space="preserve"> </w:t>
            </w: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эмоции, чувства и переживания автора или его героя.</w:t>
            </w:r>
          </w:p>
        </w:tc>
        <w:tc>
          <w:tcPr>
            <w:tcW w:w="9214" w:type="dxa"/>
          </w:tcPr>
          <w:p w:rsidR="00A61F36" w:rsidRPr="00A74A5F" w:rsidRDefault="00A61F36" w:rsidP="000207DE">
            <w:pPr>
              <w:tabs>
                <w:tab w:val="left" w:pos="318"/>
              </w:tabs>
              <w:ind w:left="9"/>
              <w:contextualSpacing/>
              <w:jc w:val="center"/>
              <w:rPr>
                <w:rFonts w:ascii="Times New Roman" w:eastAsia="Cambria" w:hAnsi="Times New Roman" w:cs="Times New Roman"/>
                <w:b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b/>
                <w:sz w:val="18"/>
                <w:szCs w:val="18"/>
              </w:rPr>
              <w:t>Примерная структура комментария</w:t>
            </w:r>
          </w:p>
          <w:p w:rsidR="00A61F36" w:rsidRPr="00A74A5F" w:rsidRDefault="00A61F36" w:rsidP="000207DE">
            <w:pPr>
              <w:numPr>
                <w:ilvl w:val="0"/>
                <w:numId w:val="5"/>
              </w:numPr>
              <w:tabs>
                <w:tab w:val="left" w:pos="318"/>
              </w:tabs>
              <w:ind w:left="9" w:hanging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Проблема, поднятая автором, находит своё отражение  в предложенном для анализа тексте. Обратимся к двум примерам-иллюстрациям. Во-первых, ... (работа с конкретными предложениями + пояснение). Во-вторых, (работа с конкретными предложениями + пояснение). Налицо смысловая связь данных примеров: (расшифровка).</w:t>
            </w:r>
          </w:p>
          <w:p w:rsidR="00A61F36" w:rsidRPr="00A74A5F" w:rsidRDefault="00A61F36" w:rsidP="000207DE">
            <w:pPr>
              <w:numPr>
                <w:ilvl w:val="0"/>
                <w:numId w:val="5"/>
              </w:numPr>
              <w:tabs>
                <w:tab w:val="left" w:pos="318"/>
              </w:tabs>
              <w:ind w:left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Размышления автора о том, что (текст), мы читаем в …(текст + пояснение).  Однако в другом абзаце (номер) автор противопоставляет... (текст + пояснение). Следовательно, два приведённых примера-иллюстрации способствуют пониманию простой мысли: …</w:t>
            </w:r>
          </w:p>
          <w:p w:rsidR="00A61F36" w:rsidRPr="00A74A5F" w:rsidRDefault="00A61F36" w:rsidP="000207DE">
            <w:pPr>
              <w:numPr>
                <w:ilvl w:val="0"/>
                <w:numId w:val="5"/>
              </w:numPr>
              <w:tabs>
                <w:tab w:val="left" w:pos="318"/>
              </w:tabs>
              <w:ind w:left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Давайте рассмотрим две грани проблемы, поднятой писателем. Одна грань - это ... (пример из текста + пояснение). Данной грани проблемы противопоставлена другая, которую автор сформулировал так: (пример из текста + пояснение). Так, два приведённых примера-иллюстрации, объединенные приемом контраста, позволяю автору раскрыть поднятую им проблему.</w:t>
            </w:r>
          </w:p>
          <w:p w:rsidR="00A61F36" w:rsidRPr="00A74A5F" w:rsidRDefault="00A61F36" w:rsidP="000207DE">
            <w:pPr>
              <w:numPr>
                <w:ilvl w:val="0"/>
                <w:numId w:val="5"/>
              </w:numPr>
              <w:tabs>
                <w:tab w:val="left" w:pos="318"/>
              </w:tabs>
              <w:ind w:left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Проблема рассматривается автором с двух сторон. Сначала…(пример из текста + пояснение). Но дальше, используя приём контраста, писатель (пример из текста + пояснение). Так, противопоставляя …, писатель подводит нас к мысли о том, что… </w:t>
            </w:r>
          </w:p>
          <w:p w:rsidR="00A61F36" w:rsidRPr="00A74A5F" w:rsidRDefault="00A61F36" w:rsidP="000207DE">
            <w:pPr>
              <w:tabs>
                <w:tab w:val="left" w:pos="318"/>
              </w:tabs>
              <w:ind w:left="9"/>
              <w:contextualSpacing/>
              <w:jc w:val="center"/>
              <w:rPr>
                <w:rFonts w:ascii="Times New Roman" w:eastAsia="Cambria" w:hAnsi="Times New Roman" w:cs="Times New Roman"/>
                <w:b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b/>
                <w:sz w:val="18"/>
                <w:szCs w:val="18"/>
              </w:rPr>
              <w:t>Клише-вывод</w:t>
            </w:r>
          </w:p>
          <w:p w:rsidR="00A61F36" w:rsidRPr="00A74A5F" w:rsidRDefault="00A61F36" w:rsidP="000207DE">
            <w:pPr>
              <w:numPr>
                <w:ilvl w:val="0"/>
                <w:numId w:val="5"/>
              </w:numPr>
              <w:tabs>
                <w:tab w:val="left" w:pos="318"/>
              </w:tabs>
              <w:ind w:left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Использование двух контрастных примеров-иллюстраций, которые приведены в комментарии, позволяет писателю раскрыть проблему с разных сторон.</w:t>
            </w:r>
          </w:p>
          <w:p w:rsidR="00A61F36" w:rsidRPr="00A74A5F" w:rsidRDefault="00A61F36" w:rsidP="000207DE">
            <w:pPr>
              <w:numPr>
                <w:ilvl w:val="0"/>
                <w:numId w:val="5"/>
              </w:numPr>
              <w:tabs>
                <w:tab w:val="left" w:pos="318"/>
              </w:tabs>
              <w:ind w:left="9"/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Противопоставляя эти примеры (ситуации, точки зрения, героев…), автор показывает…</w:t>
            </w:r>
          </w:p>
          <w:p w:rsidR="00A61F36" w:rsidRPr="00A74A5F" w:rsidRDefault="00A61F36" w:rsidP="0095624C">
            <w:pPr>
              <w:numPr>
                <w:ilvl w:val="0"/>
                <w:numId w:val="5"/>
              </w:numPr>
              <w:tabs>
                <w:tab w:val="left" w:pos="318"/>
              </w:tabs>
              <w:ind w:left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Таким образом, два примера-иллюстрации, в основе которых лежит приём контраста, позволяют читателю понять, </w:t>
            </w:r>
          </w:p>
          <w:p w:rsidR="00A61F36" w:rsidRPr="00A74A5F" w:rsidRDefault="00A61F36" w:rsidP="000207DE">
            <w:pPr>
              <w:numPr>
                <w:ilvl w:val="0"/>
                <w:numId w:val="5"/>
              </w:numPr>
              <w:tabs>
                <w:tab w:val="left" w:pos="318"/>
              </w:tabs>
              <w:ind w:left="9" w:hanging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proofErr w:type="gramStart"/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Именно противопоставление (информации, разных точек зрения, героев…) позволяет понять, как … (что…)</w:t>
            </w:r>
            <w:proofErr w:type="gramEnd"/>
          </w:p>
          <w:p w:rsidR="00A61F36" w:rsidRPr="00A74A5F" w:rsidRDefault="00A61F36" w:rsidP="000207DE">
            <w:pPr>
              <w:numPr>
                <w:ilvl w:val="0"/>
                <w:numId w:val="5"/>
              </w:numPr>
              <w:tabs>
                <w:tab w:val="left" w:pos="318"/>
              </w:tabs>
              <w:ind w:left="9" w:hanging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Используемый приём контраста позволяет писателю предложить читателю сочетание противоположных идей.</w:t>
            </w:r>
          </w:p>
          <w:p w:rsidR="00A61F36" w:rsidRPr="00A74A5F" w:rsidRDefault="00A61F36" w:rsidP="000207DE">
            <w:pPr>
              <w:numPr>
                <w:ilvl w:val="0"/>
                <w:numId w:val="5"/>
              </w:numPr>
              <w:tabs>
                <w:tab w:val="left" w:pos="318"/>
              </w:tabs>
              <w:ind w:left="9" w:hanging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Так, описывая противоположные эмоции (чувства)//противопоставляя героев//сравнивая противоположные по своей сути точки зрения, автор подводит нас к мысли о том, что…</w:t>
            </w:r>
          </w:p>
          <w:p w:rsidR="00A61F36" w:rsidRPr="00A74A5F" w:rsidRDefault="00A61F36" w:rsidP="0095624C">
            <w:pPr>
              <w:numPr>
                <w:ilvl w:val="0"/>
                <w:numId w:val="5"/>
              </w:numPr>
              <w:tabs>
                <w:tab w:val="left" w:pos="318"/>
              </w:tabs>
              <w:ind w:left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 Сочетание противоположных идей подчеркивает контраст между</w:t>
            </w:r>
            <w:r w:rsidRPr="00A74A5F">
              <w:rPr>
                <w:rFonts w:ascii="Times New Roman" w:eastAsia="Cambria" w:hAnsi="Times New Roman" w:cs="Times New Roman"/>
                <w:b/>
                <w:sz w:val="18"/>
                <w:szCs w:val="18"/>
              </w:rPr>
              <w:t xml:space="preserve"> </w:t>
            </w:r>
            <w:r w:rsidR="0095624C">
              <w:rPr>
                <w:rFonts w:ascii="Times New Roman" w:eastAsia="Cambria" w:hAnsi="Times New Roman" w:cs="Times New Roman"/>
                <w:sz w:val="18"/>
                <w:szCs w:val="18"/>
              </w:rPr>
              <w:t>двумя приведёнными примерами</w:t>
            </w:r>
          </w:p>
        </w:tc>
      </w:tr>
      <w:tr w:rsidR="008628F4" w:rsidTr="0095624C">
        <w:tc>
          <w:tcPr>
            <w:tcW w:w="1809" w:type="dxa"/>
          </w:tcPr>
          <w:p w:rsidR="008628F4" w:rsidRPr="00A74A5F" w:rsidRDefault="008628F4" w:rsidP="000207DE">
            <w:pPr>
              <w:tabs>
                <w:tab w:val="left" w:pos="171"/>
              </w:tabs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b/>
                <w:sz w:val="18"/>
                <w:szCs w:val="18"/>
              </w:rPr>
              <w:t xml:space="preserve">Сравнение, сопоставление </w:t>
            </w: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(сравнение образов героев, сопоставление эпизодов, рассмотрение связей пейзажа и портрета с общим течением текста)</w:t>
            </w:r>
          </w:p>
          <w:p w:rsidR="008628F4" w:rsidRPr="00A74A5F" w:rsidRDefault="008628F4" w:rsidP="008628F4">
            <w:pPr>
              <w:tabs>
                <w:tab w:val="left" w:pos="171"/>
              </w:tabs>
              <w:ind w:left="720"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</w:p>
        </w:tc>
        <w:tc>
          <w:tcPr>
            <w:tcW w:w="9214" w:type="dxa"/>
          </w:tcPr>
          <w:p w:rsidR="008628F4" w:rsidRPr="00A74A5F" w:rsidRDefault="008628F4" w:rsidP="000207DE">
            <w:pPr>
              <w:numPr>
                <w:ilvl w:val="0"/>
                <w:numId w:val="7"/>
              </w:numPr>
              <w:tabs>
                <w:tab w:val="left" w:pos="318"/>
              </w:tabs>
              <w:ind w:left="9"/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Сравнивая эти примеры (героев, точки зрения, поведение героев, отношение героев к одному и тому же явлению, случаю…), писатель показывает…</w:t>
            </w:r>
          </w:p>
          <w:p w:rsidR="008628F4" w:rsidRPr="00A74A5F" w:rsidRDefault="008628F4" w:rsidP="000207DE">
            <w:pPr>
              <w:numPr>
                <w:ilvl w:val="0"/>
                <w:numId w:val="7"/>
              </w:numPr>
              <w:tabs>
                <w:tab w:val="left" w:pos="318"/>
              </w:tabs>
              <w:ind w:left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Из сопоставления этих примеров рождается очень грустная мысль</w:t>
            </w:r>
            <w:r w:rsidR="0095624C">
              <w:rPr>
                <w:rFonts w:ascii="Times New Roman" w:eastAsia="Cambria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о том, что…</w:t>
            </w:r>
          </w:p>
          <w:p w:rsidR="008628F4" w:rsidRPr="00A74A5F" w:rsidRDefault="008628F4" w:rsidP="000207DE">
            <w:pPr>
              <w:numPr>
                <w:ilvl w:val="0"/>
                <w:numId w:val="7"/>
              </w:numPr>
              <w:tabs>
                <w:tab w:val="left" w:pos="318"/>
              </w:tabs>
              <w:ind w:left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Сравнение, которое использует автор, позволяет ему (зрительно передать, описать или охарактеризовать внешний вид или внутренне свойство предмета речи, его состояние, поведение)</w:t>
            </w:r>
          </w:p>
          <w:p w:rsidR="008628F4" w:rsidRPr="00A74A5F" w:rsidRDefault="008628F4" w:rsidP="000207DE">
            <w:pPr>
              <w:numPr>
                <w:ilvl w:val="0"/>
                <w:numId w:val="7"/>
              </w:numPr>
              <w:tabs>
                <w:tab w:val="left" w:pos="171"/>
              </w:tabs>
              <w:ind w:left="9" w:hanging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Два примера-иллюстрации, в основе которых лежит приём сравнения, передают (чувства, мысли героев//настроение героев//отношения людей к главному герою//переживания героев)</w:t>
            </w:r>
          </w:p>
          <w:p w:rsidR="008628F4" w:rsidRPr="00A74A5F" w:rsidRDefault="008628F4" w:rsidP="000207DE">
            <w:pPr>
              <w:numPr>
                <w:ilvl w:val="0"/>
                <w:numId w:val="7"/>
              </w:numPr>
              <w:tabs>
                <w:tab w:val="left" w:pos="171"/>
              </w:tabs>
              <w:ind w:left="9" w:hanging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Два примера, в основе которых лежит приём сравнения, служат авторской оценке предмета или явления</w:t>
            </w:r>
          </w:p>
          <w:p w:rsidR="008628F4" w:rsidRPr="00A74A5F" w:rsidRDefault="008628F4" w:rsidP="000207DE">
            <w:pPr>
              <w:numPr>
                <w:ilvl w:val="0"/>
                <w:numId w:val="7"/>
              </w:numPr>
              <w:tabs>
                <w:tab w:val="left" w:pos="171"/>
              </w:tabs>
              <w:ind w:left="9" w:hanging="9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Сравниваемые два примера-иллюстрации свидетельствуют о том, что //указывают на то, что // говорят о том, что// дают возможность писателю высказать мысль: (текст)…</w:t>
            </w:r>
          </w:p>
          <w:p w:rsidR="008628F4" w:rsidRPr="00A74A5F" w:rsidRDefault="008628F4" w:rsidP="000207DE">
            <w:pPr>
              <w:numPr>
                <w:ilvl w:val="0"/>
                <w:numId w:val="7"/>
              </w:numPr>
              <w:tabs>
                <w:tab w:val="left" w:pos="318"/>
              </w:tabs>
              <w:ind w:left="9" w:hanging="9"/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Разные точки зрения, к которым обращается автор, позволяют ему сделать вывод: …</w:t>
            </w:r>
          </w:p>
          <w:p w:rsidR="008628F4" w:rsidRPr="00A74A5F" w:rsidRDefault="008628F4" w:rsidP="008628F4">
            <w:pPr>
              <w:numPr>
                <w:ilvl w:val="0"/>
                <w:numId w:val="7"/>
              </w:numPr>
              <w:tabs>
                <w:tab w:val="left" w:pos="318"/>
              </w:tabs>
              <w:ind w:left="9" w:hanging="9"/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Используя приём сравнения в этих двух примерах-иллюстрациях, автор привлекает общественное внимание к актуальной проблеме:… (по тексту)</w:t>
            </w:r>
          </w:p>
        </w:tc>
      </w:tr>
      <w:tr w:rsidR="008628F4" w:rsidTr="0095624C">
        <w:tc>
          <w:tcPr>
            <w:tcW w:w="1809" w:type="dxa"/>
          </w:tcPr>
          <w:p w:rsidR="008628F4" w:rsidRPr="00A74A5F" w:rsidRDefault="008628F4" w:rsidP="000207DE">
            <w:pPr>
              <w:tabs>
                <w:tab w:val="left" w:pos="318"/>
              </w:tabs>
              <w:contextualSpacing/>
              <w:rPr>
                <w:rFonts w:ascii="Times New Roman" w:eastAsia="Cambria" w:hAnsi="Times New Roman" w:cs="Times New Roman"/>
                <w:b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b/>
                <w:sz w:val="18"/>
                <w:szCs w:val="18"/>
              </w:rPr>
              <w:t>Причинно-следственные отношения</w:t>
            </w:r>
          </w:p>
        </w:tc>
        <w:tc>
          <w:tcPr>
            <w:tcW w:w="9214" w:type="dxa"/>
          </w:tcPr>
          <w:p w:rsidR="008628F4" w:rsidRPr="00A74A5F" w:rsidRDefault="008628F4" w:rsidP="008628F4">
            <w:pPr>
              <w:numPr>
                <w:ilvl w:val="0"/>
                <w:numId w:val="3"/>
              </w:numPr>
              <w:tabs>
                <w:tab w:val="left" w:pos="318"/>
              </w:tabs>
              <w:ind w:hanging="402"/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Проанализировав два примера, мы увидели причину того, как… (что…)</w:t>
            </w:r>
          </w:p>
          <w:p w:rsidR="008628F4" w:rsidRPr="00A74A5F" w:rsidRDefault="008628F4" w:rsidP="008628F4">
            <w:pPr>
              <w:numPr>
                <w:ilvl w:val="0"/>
                <w:numId w:val="3"/>
              </w:numPr>
              <w:tabs>
                <w:tab w:val="left" w:pos="318"/>
              </w:tabs>
              <w:ind w:hanging="402"/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Причинно-следственные отношения, раскрытые в двух примерах-иллюстрациях, позволяют автору …</w:t>
            </w:r>
          </w:p>
          <w:p w:rsidR="008628F4" w:rsidRPr="00A74A5F" w:rsidRDefault="008628F4" w:rsidP="008628F4">
            <w:pPr>
              <w:numPr>
                <w:ilvl w:val="0"/>
                <w:numId w:val="3"/>
              </w:numPr>
              <w:tabs>
                <w:tab w:val="left" w:pos="318"/>
              </w:tabs>
              <w:ind w:hanging="402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Примеры из текста стали убедительным доказательством того, что…</w:t>
            </w:r>
          </w:p>
          <w:p w:rsidR="008628F4" w:rsidRPr="00A74A5F" w:rsidRDefault="008628F4" w:rsidP="000207DE">
            <w:pPr>
              <w:numPr>
                <w:ilvl w:val="0"/>
                <w:numId w:val="2"/>
              </w:numPr>
              <w:tabs>
                <w:tab w:val="left" w:pos="318"/>
              </w:tabs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Эти рассуждения (примеры) позволяют автору, а вместе с ним, и читателю,  понять, что…</w:t>
            </w:r>
          </w:p>
          <w:p w:rsidR="008628F4" w:rsidRPr="00A74A5F" w:rsidRDefault="008628F4" w:rsidP="0095624C">
            <w:pPr>
              <w:numPr>
                <w:ilvl w:val="0"/>
                <w:numId w:val="2"/>
              </w:numPr>
              <w:tabs>
                <w:tab w:val="left" w:pos="318"/>
              </w:tabs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Два приведённых примера-иллюстрации позволяют читателю убедиться в том, что </w:t>
            </w:r>
          </w:p>
        </w:tc>
      </w:tr>
      <w:tr w:rsidR="008628F4" w:rsidTr="0095624C">
        <w:tc>
          <w:tcPr>
            <w:tcW w:w="1809" w:type="dxa"/>
          </w:tcPr>
          <w:p w:rsidR="008628F4" w:rsidRPr="00A74A5F" w:rsidRDefault="008628F4" w:rsidP="000207DE">
            <w:pPr>
              <w:tabs>
                <w:tab w:val="left" w:pos="318"/>
              </w:tabs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b/>
                <w:sz w:val="18"/>
                <w:szCs w:val="18"/>
              </w:rPr>
              <w:t>Вопросно-ответные отношения</w:t>
            </w: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 </w:t>
            </w:r>
          </w:p>
          <w:p w:rsidR="008628F4" w:rsidRPr="00A74A5F" w:rsidRDefault="008628F4" w:rsidP="0095624C">
            <w:pPr>
              <w:tabs>
                <w:tab w:val="left" w:pos="318"/>
              </w:tabs>
              <w:contextualSpacing/>
              <w:rPr>
                <w:rFonts w:ascii="Times New Roman" w:eastAsia="Cambria" w:hAnsi="Times New Roman" w:cs="Times New Roman"/>
                <w:b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(необходим для привлечения внимания адресата, вызван стремлением заставить читателя или слушателя сначала ответить на вопрос, а затем сопоставить его с ответом автора </w:t>
            </w:r>
            <w:proofErr w:type="gramEnd"/>
          </w:p>
        </w:tc>
        <w:tc>
          <w:tcPr>
            <w:tcW w:w="9214" w:type="dxa"/>
          </w:tcPr>
          <w:p w:rsidR="008628F4" w:rsidRPr="00A74A5F" w:rsidRDefault="008628F4" w:rsidP="0095624C">
            <w:pPr>
              <w:numPr>
                <w:ilvl w:val="0"/>
                <w:numId w:val="2"/>
              </w:numPr>
              <w:tabs>
                <w:tab w:val="left" w:pos="318"/>
              </w:tabs>
              <w:ind w:hanging="720"/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 В двух приведенных примерах-иллюстрациях, в основе которых – приём вопросно-ответного хода рассуждения,  звучит убеждённость автора в том, что данные им оценки (явлениям, героям, поступкам…) верны.</w:t>
            </w:r>
          </w:p>
          <w:p w:rsidR="008628F4" w:rsidRPr="00A74A5F" w:rsidRDefault="008628F4" w:rsidP="0095624C">
            <w:pPr>
              <w:numPr>
                <w:ilvl w:val="0"/>
                <w:numId w:val="2"/>
              </w:numPr>
              <w:tabs>
                <w:tab w:val="left" w:pos="318"/>
              </w:tabs>
              <w:ind w:hanging="720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Эти примеры из текста стали убедительным доказательством того, что…</w:t>
            </w:r>
          </w:p>
          <w:p w:rsidR="008628F4" w:rsidRPr="00A74A5F" w:rsidRDefault="008628F4" w:rsidP="0095624C">
            <w:pPr>
              <w:numPr>
                <w:ilvl w:val="0"/>
                <w:numId w:val="2"/>
              </w:numPr>
              <w:tabs>
                <w:tab w:val="left" w:pos="318"/>
              </w:tabs>
              <w:ind w:hanging="720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Таким образом, задавая вопрос и отвечая на него, автор обосновывает своё видение поднятой им проблемы: …(текст)</w:t>
            </w:r>
          </w:p>
          <w:p w:rsidR="008628F4" w:rsidRPr="00A74A5F" w:rsidRDefault="008628F4" w:rsidP="0095624C">
            <w:pPr>
              <w:numPr>
                <w:ilvl w:val="0"/>
                <w:numId w:val="2"/>
              </w:numPr>
              <w:tabs>
                <w:tab w:val="left" w:pos="318"/>
              </w:tabs>
              <w:ind w:hanging="720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Вопросно-ответные отношения, связывающие два примера-иллюстрации, позволяют читателю сначала ответить на вопрос, заданный писателем, а потом сопоставить свой ответ с ответом автора, который считает, что…</w:t>
            </w:r>
          </w:p>
          <w:p w:rsidR="008628F4" w:rsidRPr="00A74A5F" w:rsidRDefault="008628F4" w:rsidP="0095624C">
            <w:pPr>
              <w:numPr>
                <w:ilvl w:val="0"/>
                <w:numId w:val="2"/>
              </w:numPr>
              <w:tabs>
                <w:tab w:val="left" w:pos="318"/>
              </w:tabs>
              <w:ind w:hanging="720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 Резюмируя вышесказанное, мы приходим к выводу, что...</w:t>
            </w:r>
          </w:p>
          <w:p w:rsidR="008628F4" w:rsidRPr="00A74A5F" w:rsidRDefault="008628F4" w:rsidP="0095624C">
            <w:pPr>
              <w:numPr>
                <w:ilvl w:val="0"/>
                <w:numId w:val="2"/>
              </w:numPr>
              <w:tabs>
                <w:tab w:val="left" w:pos="318"/>
              </w:tabs>
              <w:ind w:hanging="720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Исходя из двух примеров-иллюстраций, с помощью которых мы прокомментировали проблему исходного текста, можно понять, что ...  (пишется вывод, вытекающий из двух примеров-иллюстраций).</w:t>
            </w:r>
          </w:p>
        </w:tc>
      </w:tr>
      <w:tr w:rsidR="00A61F36" w:rsidTr="0095624C">
        <w:tc>
          <w:tcPr>
            <w:tcW w:w="1809" w:type="dxa"/>
          </w:tcPr>
          <w:p w:rsidR="00A61F36" w:rsidRDefault="00A61F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4" w:type="dxa"/>
          </w:tcPr>
          <w:p w:rsidR="00A61F36" w:rsidRPr="007121AA" w:rsidRDefault="007121A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21AA">
              <w:rPr>
                <w:rFonts w:ascii="Times New Roman" w:hAnsi="Times New Roman" w:cs="Times New Roman"/>
                <w:b/>
                <w:sz w:val="18"/>
                <w:szCs w:val="18"/>
              </w:rPr>
              <w:t>Место обозначения смысловой связи в сочинении</w:t>
            </w:r>
          </w:p>
        </w:tc>
      </w:tr>
      <w:tr w:rsidR="0095624C" w:rsidTr="0095624C">
        <w:tc>
          <w:tcPr>
            <w:tcW w:w="1809" w:type="dxa"/>
          </w:tcPr>
          <w:p w:rsidR="0095624C" w:rsidRPr="00A74A5F" w:rsidRDefault="0095624C" w:rsidP="000207DE">
            <w:pPr>
              <w:tabs>
                <w:tab w:val="left" w:pos="318"/>
              </w:tabs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Указание смысловой связи как зачин</w:t>
            </w:r>
          </w:p>
        </w:tc>
        <w:tc>
          <w:tcPr>
            <w:tcW w:w="9214" w:type="dxa"/>
          </w:tcPr>
          <w:p w:rsidR="0095624C" w:rsidRPr="00A74A5F" w:rsidRDefault="0095624C" w:rsidP="000207DE">
            <w:pPr>
              <w:numPr>
                <w:ilvl w:val="0"/>
                <w:numId w:val="2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Размышляя над проблемой, писатель противопоставляет героев (различные точки зрения, поступки…)</w:t>
            </w:r>
          </w:p>
          <w:p w:rsidR="0095624C" w:rsidRPr="00A74A5F" w:rsidRDefault="0095624C" w:rsidP="000207DE">
            <w:pPr>
              <w:numPr>
                <w:ilvl w:val="0"/>
                <w:numId w:val="2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Размышляя над проблемой, писатель сравнивает героев…</w:t>
            </w:r>
          </w:p>
          <w:p w:rsidR="0095624C" w:rsidRPr="00A74A5F" w:rsidRDefault="0095624C" w:rsidP="000207DE">
            <w:pPr>
              <w:numPr>
                <w:ilvl w:val="0"/>
                <w:numId w:val="2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Противопоставляя (сравнивая) своих героев (разные точки зрения), писатель раскрывает проблему с разных сторон. Во-первых,… (текст + пояснение). Во-вторых,… (текст + пояснение).</w:t>
            </w:r>
          </w:p>
        </w:tc>
      </w:tr>
      <w:tr w:rsidR="0095624C" w:rsidTr="0095624C">
        <w:tc>
          <w:tcPr>
            <w:tcW w:w="1809" w:type="dxa"/>
          </w:tcPr>
          <w:p w:rsidR="0095624C" w:rsidRPr="00A74A5F" w:rsidRDefault="0095624C" w:rsidP="0095624C">
            <w:pPr>
              <w:tabs>
                <w:tab w:val="left" w:pos="318"/>
              </w:tabs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Указание на связь примеров при переход</w:t>
            </w:r>
            <w:r>
              <w:rPr>
                <w:rFonts w:ascii="Times New Roman" w:eastAsia="Cambria" w:hAnsi="Times New Roman" w:cs="Times New Roman"/>
                <w:sz w:val="18"/>
                <w:szCs w:val="18"/>
              </w:rPr>
              <w:t>е от первого ко второму примеру</w:t>
            </w:r>
          </w:p>
        </w:tc>
        <w:tc>
          <w:tcPr>
            <w:tcW w:w="9214" w:type="dxa"/>
          </w:tcPr>
          <w:p w:rsidR="0095624C" w:rsidRPr="00A74A5F" w:rsidRDefault="0095624C" w:rsidP="000207DE">
            <w:pPr>
              <w:numPr>
                <w:ilvl w:val="0"/>
                <w:numId w:val="4"/>
              </w:numPr>
              <w:tabs>
                <w:tab w:val="left" w:pos="318"/>
              </w:tabs>
              <w:ind w:left="34"/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Для сравнения обратимся к другому примеру. </w:t>
            </w:r>
          </w:p>
          <w:p w:rsidR="0095624C" w:rsidRPr="00A74A5F" w:rsidRDefault="0095624C" w:rsidP="000207DE">
            <w:pPr>
              <w:numPr>
                <w:ilvl w:val="0"/>
                <w:numId w:val="4"/>
              </w:numPr>
              <w:tabs>
                <w:tab w:val="left" w:pos="318"/>
              </w:tabs>
              <w:ind w:left="34"/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Второй герой сравнивается с первым, чтобы</w:t>
            </w:r>
            <w:proofErr w:type="gramStart"/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 …Е</w:t>
            </w:r>
            <w:proofErr w:type="gramEnd"/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сли один … то другой…</w:t>
            </w:r>
          </w:p>
        </w:tc>
      </w:tr>
      <w:tr w:rsidR="0095624C" w:rsidTr="0095624C">
        <w:tc>
          <w:tcPr>
            <w:tcW w:w="1809" w:type="dxa"/>
          </w:tcPr>
          <w:p w:rsidR="0095624C" w:rsidRPr="00A74A5F" w:rsidRDefault="0095624C" w:rsidP="000207DE">
            <w:pPr>
              <w:tabs>
                <w:tab w:val="left" w:pos="318"/>
              </w:tabs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Указание на связь примеров как итог к</w:t>
            </w:r>
            <w:bookmarkStart w:id="0" w:name="_GoBack"/>
            <w:bookmarkEnd w:id="0"/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омментирования</w:t>
            </w:r>
          </w:p>
        </w:tc>
        <w:tc>
          <w:tcPr>
            <w:tcW w:w="9214" w:type="dxa"/>
          </w:tcPr>
          <w:p w:rsidR="0095624C" w:rsidRPr="00A74A5F" w:rsidRDefault="0095624C" w:rsidP="000207DE">
            <w:pPr>
              <w:numPr>
                <w:ilvl w:val="0"/>
                <w:numId w:val="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Оба приведённых примера, дополняя друг друга, позволяют увидеть…</w:t>
            </w:r>
          </w:p>
          <w:p w:rsidR="0095624C" w:rsidRPr="00A74A5F" w:rsidRDefault="0095624C" w:rsidP="000207DE">
            <w:pPr>
              <w:numPr>
                <w:ilvl w:val="0"/>
                <w:numId w:val="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Приведённые примеры позволяют увидеть героя в развитии и показать становлении личности…</w:t>
            </w:r>
          </w:p>
          <w:p w:rsidR="0095624C" w:rsidRPr="00A74A5F" w:rsidRDefault="0095624C" w:rsidP="000207DE">
            <w:pPr>
              <w:numPr>
                <w:ilvl w:val="0"/>
                <w:numId w:val="4"/>
              </w:numPr>
              <w:tabs>
                <w:tab w:val="left" w:pos="318"/>
              </w:tabs>
              <w:ind w:left="34"/>
              <w:contextualSpacing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A74A5F">
              <w:rPr>
                <w:rFonts w:ascii="Times New Roman" w:eastAsia="Cambria" w:hAnsi="Times New Roman" w:cs="Times New Roman"/>
                <w:sz w:val="18"/>
                <w:szCs w:val="18"/>
              </w:rPr>
              <w:t>Два приведённых примера-иллюстрации свидетельствуют о том, что…</w:t>
            </w:r>
          </w:p>
        </w:tc>
      </w:tr>
    </w:tbl>
    <w:p w:rsidR="00A61F36" w:rsidRPr="00A61F36" w:rsidRDefault="00A61F36" w:rsidP="0095624C">
      <w:pPr>
        <w:rPr>
          <w:rFonts w:ascii="Times New Roman" w:hAnsi="Times New Roman" w:cs="Times New Roman"/>
          <w:sz w:val="18"/>
          <w:szCs w:val="18"/>
        </w:rPr>
      </w:pPr>
    </w:p>
    <w:sectPr w:rsidR="00A61F36" w:rsidRPr="00A61F36" w:rsidSect="0095624C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B92" w:rsidRDefault="00E54B92" w:rsidP="00A61F36">
      <w:pPr>
        <w:spacing w:after="0" w:line="240" w:lineRule="auto"/>
      </w:pPr>
      <w:r>
        <w:separator/>
      </w:r>
    </w:p>
  </w:endnote>
  <w:endnote w:type="continuationSeparator" w:id="0">
    <w:p w:rsidR="00E54B92" w:rsidRDefault="00E54B92" w:rsidP="00A6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B92" w:rsidRDefault="00E54B92" w:rsidP="00A61F36">
      <w:pPr>
        <w:spacing w:after="0" w:line="240" w:lineRule="auto"/>
      </w:pPr>
      <w:r>
        <w:separator/>
      </w:r>
    </w:p>
  </w:footnote>
  <w:footnote w:type="continuationSeparator" w:id="0">
    <w:p w:rsidR="00E54B92" w:rsidRDefault="00E54B92" w:rsidP="00A61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B5489"/>
    <w:multiLevelType w:val="hybridMultilevel"/>
    <w:tmpl w:val="985684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600D3"/>
    <w:multiLevelType w:val="hybridMultilevel"/>
    <w:tmpl w:val="6D90AE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30032"/>
    <w:multiLevelType w:val="hybridMultilevel"/>
    <w:tmpl w:val="BF3CFC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63448"/>
    <w:multiLevelType w:val="hybridMultilevel"/>
    <w:tmpl w:val="E794A1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C71879"/>
    <w:multiLevelType w:val="hybridMultilevel"/>
    <w:tmpl w:val="FB629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4D3139"/>
    <w:multiLevelType w:val="hybridMultilevel"/>
    <w:tmpl w:val="11BEED40"/>
    <w:lvl w:ilvl="0" w:tplc="0419000B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7ACB16AC"/>
    <w:multiLevelType w:val="hybridMultilevel"/>
    <w:tmpl w:val="C5A043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94"/>
    <w:rsid w:val="00174094"/>
    <w:rsid w:val="007121AA"/>
    <w:rsid w:val="008628F4"/>
    <w:rsid w:val="0095624C"/>
    <w:rsid w:val="00A61F36"/>
    <w:rsid w:val="00E54B92"/>
    <w:rsid w:val="00FB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61F36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 сноски1"/>
    <w:basedOn w:val="a"/>
    <w:next w:val="a4"/>
    <w:link w:val="a5"/>
    <w:uiPriority w:val="99"/>
    <w:semiHidden/>
    <w:unhideWhenUsed/>
    <w:rsid w:val="00A61F3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10"/>
    <w:uiPriority w:val="99"/>
    <w:semiHidden/>
    <w:rsid w:val="00A61F36"/>
    <w:rPr>
      <w:sz w:val="20"/>
      <w:szCs w:val="20"/>
    </w:rPr>
  </w:style>
  <w:style w:type="table" w:styleId="a3">
    <w:name w:val="Table Grid"/>
    <w:basedOn w:val="a1"/>
    <w:uiPriority w:val="59"/>
    <w:rsid w:val="00A61F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11"/>
    <w:uiPriority w:val="99"/>
    <w:semiHidden/>
    <w:unhideWhenUsed/>
    <w:rsid w:val="00A61F36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4"/>
    <w:uiPriority w:val="99"/>
    <w:semiHidden/>
    <w:rsid w:val="00A61F3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61F36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 сноски1"/>
    <w:basedOn w:val="a"/>
    <w:next w:val="a4"/>
    <w:link w:val="a5"/>
    <w:uiPriority w:val="99"/>
    <w:semiHidden/>
    <w:unhideWhenUsed/>
    <w:rsid w:val="00A61F3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10"/>
    <w:uiPriority w:val="99"/>
    <w:semiHidden/>
    <w:rsid w:val="00A61F36"/>
    <w:rPr>
      <w:sz w:val="20"/>
      <w:szCs w:val="20"/>
    </w:rPr>
  </w:style>
  <w:style w:type="table" w:styleId="a3">
    <w:name w:val="Table Grid"/>
    <w:basedOn w:val="a1"/>
    <w:uiPriority w:val="59"/>
    <w:rsid w:val="00A61F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11"/>
    <w:uiPriority w:val="99"/>
    <w:semiHidden/>
    <w:unhideWhenUsed/>
    <w:rsid w:val="00A61F36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4"/>
    <w:uiPriority w:val="99"/>
    <w:semiHidden/>
    <w:rsid w:val="00A61F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880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2020-03-03T18:14:00Z</dcterms:created>
  <dcterms:modified xsi:type="dcterms:W3CDTF">2020-03-03T18:28:00Z</dcterms:modified>
</cp:coreProperties>
</file>